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CC2A46" w:rsidRPr="00CC2A46" w:rsidRDefault="00CC2A46" w:rsidP="00CC2A46">
      <w:pPr>
        <w:keepNext/>
        <w:keepLines/>
        <w:spacing w:before="480" w:after="0"/>
        <w:jc w:val="center"/>
        <w:outlineLvl w:val="0"/>
        <w:rPr>
          <w:rFonts w:eastAsia="Times New Roman" w:cs="Times New Roman"/>
          <w:b/>
          <w:bCs/>
          <w:color w:val="365F91"/>
          <w:sz w:val="28"/>
          <w:szCs w:val="2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CC2A46">
        <w:rPr>
          <w:rFonts w:eastAsia="Times New Roman" w:cs="Times New Roman"/>
          <w:b/>
          <w:bCs/>
          <w:color w:val="365F91"/>
          <w:sz w:val="28"/>
          <w:szCs w:val="28"/>
        </w:rPr>
        <w:t>ZD DNS REM zahájeni účtování od 01. 01. 2023</w:t>
      </w: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</w:rPr>
      </w:pPr>
      <w:r w:rsidRPr="00CC2A46">
        <w:rPr>
          <w:rFonts w:eastAsia="Calibri" w:cs="Times New Roman"/>
        </w:rPr>
        <w:t>Rozvojové požadavky nutné pro spuštění alokaci nákladů a výnosů na objekty REM k datu 1. 1. 2023: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Místo plnění: Dlážděná 1003/7, 110 00 Praha 1 a jednotlivé organizační složky Správy železnic, státní organizace na území ČR.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 xml:space="preserve">Předpokládaná doba realizace pro jednotlivé požadavky je  uveden níže „T“ + X kalendářních dní, kde hodnota „T“ je okamžik účinnosti uzavřené smlouvy. </w:t>
      </w: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 xml:space="preserve">Dopracovat nastavení ZVN přímých nákladů s převzetím zákaznického povinného pole „Třídící pole“ při přeúčtování u nákladových druhů OUA. 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+ 45 dní.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U nákladových druhů OUA je nastaveno povinné „třídící pole“ a toto číslo, tedy bude nutné přenést i do dokladu o přeúčtování.</w:t>
      </w:r>
    </w:p>
    <w:p w:rsidR="00CC2A46" w:rsidRPr="00CC2A46" w:rsidRDefault="00CC2A46" w:rsidP="00CC2A46">
      <w:pPr>
        <w:rPr>
          <w:rFonts w:eastAsia="Calibri" w:cs="Times New Roman"/>
          <w:color w:val="000000"/>
          <w:szCs w:val="20"/>
        </w:rPr>
      </w:pPr>
      <w:r w:rsidRPr="00CC2A46">
        <w:rPr>
          <w:rFonts w:eastAsia="Calibri" w:cs="Times New Roman"/>
          <w:noProof/>
          <w:color w:val="000000"/>
          <w:szCs w:val="20"/>
          <w:lang w:eastAsia="cs-CZ"/>
        </w:rPr>
        <w:drawing>
          <wp:inline distT="0" distB="0" distL="0" distR="0" wp14:anchorId="6A44CF5A" wp14:editId="6CD3AA33">
            <wp:extent cx="3876675" cy="2876550"/>
            <wp:effectExtent l="0" t="0" r="9525" b="0"/>
            <wp:docPr id="4" name="Obrázek 4" descr="cid:image001.png@01D85E22.6A7E9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85E22.6A7E98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A46" w:rsidRPr="00CC2A46" w:rsidRDefault="00CC2A46" w:rsidP="00CC2A46">
      <w:pPr>
        <w:rPr>
          <w:rFonts w:eastAsia="Calibri" w:cs="Times New Roman"/>
          <w:color w:val="000000"/>
          <w:szCs w:val="20"/>
        </w:rPr>
      </w:pPr>
    </w:p>
    <w:p w:rsidR="00CC2A46" w:rsidRPr="00CC2A46" w:rsidRDefault="00CC2A46" w:rsidP="00CC2A46">
      <w:pPr>
        <w:rPr>
          <w:rFonts w:eastAsia="Calibri" w:cs="Times New Roman"/>
          <w:color w:val="000000"/>
          <w:szCs w:val="20"/>
        </w:rPr>
      </w:pPr>
      <w:r w:rsidRPr="00CC2A46">
        <w:rPr>
          <w:rFonts w:eastAsia="Calibri" w:cs="Times New Roman"/>
          <w:color w:val="000000"/>
          <w:szCs w:val="20"/>
        </w:rPr>
        <w:t>Jedná se o tyto účty:</w:t>
      </w:r>
    </w:p>
    <w:tbl>
      <w:tblPr>
        <w:tblW w:w="4660" w:type="dxa"/>
        <w:tblInd w:w="-3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0"/>
      </w:tblGrid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  <w:lang w:eastAsia="cs-CZ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lastRenderedPageBreak/>
              <w:t xml:space="preserve">     5113005  OUA-projekty opravných prací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>     5115005  OUA-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opr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.,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údržování</w:t>
            </w:r>
            <w:proofErr w:type="spellEnd"/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>     5116005  OUA-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opr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.,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údržování</w:t>
            </w:r>
            <w:proofErr w:type="spellEnd"/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 xml:space="preserve">     5119005  </w:t>
            </w:r>
            <w:proofErr w:type="gramStart"/>
            <w:r w:rsidRPr="00CC2A46">
              <w:rPr>
                <w:rFonts w:ascii="Arial" w:eastAsia="Calibri" w:hAnsi="Arial" w:cs="Arial"/>
                <w:szCs w:val="20"/>
              </w:rPr>
              <w:t>OUA-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opr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.,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údržba</w:t>
            </w:r>
            <w:proofErr w:type="gramEnd"/>
            <w:r w:rsidRPr="00CC2A46">
              <w:rPr>
                <w:rFonts w:ascii="Arial" w:eastAsia="Calibri" w:hAnsi="Arial" w:cs="Arial"/>
                <w:szCs w:val="20"/>
              </w:rPr>
              <w:t>,rev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 xml:space="preserve">     5189825  </w:t>
            </w:r>
            <w:proofErr w:type="gramStart"/>
            <w:r w:rsidRPr="00CC2A46">
              <w:rPr>
                <w:rFonts w:ascii="Arial" w:eastAsia="Calibri" w:hAnsi="Arial" w:cs="Arial"/>
                <w:szCs w:val="20"/>
              </w:rPr>
              <w:t>OUA-úklid,dem.</w:t>
            </w:r>
            <w:proofErr w:type="gramEnd"/>
            <w:r w:rsidRPr="00CC2A46">
              <w:rPr>
                <w:rFonts w:ascii="Arial" w:eastAsia="Calibri" w:hAnsi="Arial" w:cs="Arial"/>
                <w:szCs w:val="20"/>
              </w:rPr>
              <w:t>,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stěh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>     5189827  OUA-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zim.úklid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 xml:space="preserve"> v 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žst</w:t>
            </w:r>
            <w:proofErr w:type="spellEnd"/>
            <w:r w:rsidRPr="00CC2A46">
              <w:rPr>
                <w:rFonts w:ascii="Arial" w:eastAsia="Calibri" w:hAnsi="Arial" w:cs="Arial"/>
                <w:szCs w:val="20"/>
              </w:rPr>
              <w:t>.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>     5189845  OUA - odborné a znalecké posudky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>     5189905  OUA-ostatní služby</w:t>
            </w:r>
          </w:p>
        </w:tc>
      </w:tr>
      <w:tr w:rsidR="00CC2A46" w:rsidRPr="00CC2A46" w:rsidTr="00103BA4">
        <w:trPr>
          <w:trHeight w:val="489"/>
        </w:trPr>
        <w:tc>
          <w:tcPr>
            <w:tcW w:w="46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C2A46" w:rsidRPr="00CC2A46" w:rsidRDefault="00CC2A46" w:rsidP="00CC2A46">
            <w:pPr>
              <w:rPr>
                <w:rFonts w:ascii="Arial" w:eastAsia="Calibri" w:hAnsi="Arial" w:cs="Arial"/>
                <w:szCs w:val="20"/>
              </w:rPr>
            </w:pPr>
            <w:r w:rsidRPr="00CC2A46">
              <w:rPr>
                <w:rFonts w:ascii="Arial" w:eastAsia="Calibri" w:hAnsi="Arial" w:cs="Arial"/>
                <w:szCs w:val="20"/>
              </w:rPr>
              <w:t xml:space="preserve">     9911105  OUA </w:t>
            </w:r>
            <w:proofErr w:type="spellStart"/>
            <w:r w:rsidRPr="00CC2A46">
              <w:rPr>
                <w:rFonts w:ascii="Arial" w:eastAsia="Calibri" w:hAnsi="Arial" w:cs="Arial"/>
                <w:szCs w:val="20"/>
              </w:rPr>
              <w:t>vnitrop.náklady</w:t>
            </w:r>
            <w:proofErr w:type="spellEnd"/>
          </w:p>
        </w:tc>
      </w:tr>
    </w:tbl>
    <w:p w:rsidR="00CC2A46" w:rsidRPr="00CC2A46" w:rsidRDefault="00CC2A46" w:rsidP="00CC2A46">
      <w:pPr>
        <w:rPr>
          <w:rFonts w:ascii="Times New Roman" w:eastAsia="Calibri" w:hAnsi="Times New Roman" w:cs="Times New Roman"/>
          <w:sz w:val="24"/>
          <w:szCs w:val="24"/>
        </w:rPr>
      </w:pPr>
    </w:p>
    <w:p w:rsidR="00CC2A46" w:rsidRPr="00CC2A46" w:rsidRDefault="00CC2A46" w:rsidP="00CC2A46">
      <w:pPr>
        <w:ind w:firstLine="567"/>
        <w:rPr>
          <w:rFonts w:eastAsia="Calibri" w:cs="Times New Roman"/>
        </w:rPr>
      </w:pPr>
      <w:r w:rsidRPr="00CC2A46">
        <w:rPr>
          <w:rFonts w:eastAsia="Calibri" w:cs="Times New Roman"/>
        </w:rPr>
        <w:t>Účtování brání zákaznická validace, dohledání konkrétní validace a provedení případné opravy.</w:t>
      </w:r>
      <w:r w:rsidRPr="00CC2A46">
        <w:rPr>
          <w:rFonts w:ascii="Times New Roman" w:eastAsia="Calibri" w:hAnsi="Times New Roman" w:cs="Times New Roman"/>
          <w:sz w:val="24"/>
          <w:szCs w:val="24"/>
        </w:rPr>
        <w:br/>
      </w:r>
      <w:r w:rsidRPr="00CC2A46">
        <w:rPr>
          <w:rFonts w:eastAsia="Calibri" w:cs="Times New Roman"/>
          <w:noProof/>
          <w:lang w:eastAsia="cs-CZ"/>
        </w:rPr>
        <w:drawing>
          <wp:inline distT="0" distB="0" distL="0" distR="0" wp14:anchorId="0F35660F" wp14:editId="0E9906EC">
            <wp:extent cx="5760720" cy="2867025"/>
            <wp:effectExtent l="0" t="0" r="0" b="9525"/>
            <wp:docPr id="5" name="Obrázek 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A46">
        <w:rPr>
          <w:rFonts w:ascii="Times New Roman" w:eastAsia="Calibri" w:hAnsi="Times New Roman" w:cs="Times New Roman"/>
          <w:sz w:val="24"/>
          <w:szCs w:val="24"/>
        </w:rPr>
        <w:br/>
      </w:r>
      <w:r w:rsidRPr="00CC2A46">
        <w:rPr>
          <w:rFonts w:ascii="Arial" w:eastAsia="Calibri" w:hAnsi="Arial" w:cs="Arial"/>
          <w:sz w:val="24"/>
          <w:szCs w:val="24"/>
        </w:rPr>
        <w:br/>
      </w: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>Výkaz modulu REM zkontrolovat a upravit pro zobrazování dat polí „Třídicí pole 1“ a „Třídicí pole 2“. Minimální výčet používaných REM reportů:</w:t>
      </w:r>
    </w:p>
    <w:p w:rsidR="00CC2A46" w:rsidRPr="00CC2A46" w:rsidRDefault="00CC2A46" w:rsidP="00CC2A46">
      <w:pPr>
        <w:numPr>
          <w:ilvl w:val="1"/>
          <w:numId w:val="5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  <w:b/>
        </w:rPr>
        <w:t>ZRE_ROVZZ Výkaz zisku a ztrát</w:t>
      </w:r>
      <w:r w:rsidRPr="00CC2A46">
        <w:rPr>
          <w:rFonts w:eastAsia="Calibri" w:cs="Times New Roman"/>
        </w:rPr>
        <w:t xml:space="preserve"> - přidat Třídicí pole 1 a 2</w:t>
      </w:r>
    </w:p>
    <w:p w:rsidR="00CC2A46" w:rsidRPr="00CC2A46" w:rsidRDefault="00CC2A46" w:rsidP="00CC2A46">
      <w:pPr>
        <w:numPr>
          <w:ilvl w:val="1"/>
          <w:numId w:val="5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  <w:b/>
        </w:rPr>
        <w:t>REEXPOSTCC Jednotlivé doklady zúčtovacích jednotek</w:t>
      </w:r>
      <w:r w:rsidRPr="00CC2A46">
        <w:rPr>
          <w:rFonts w:eastAsia="Calibri" w:cs="Times New Roman"/>
        </w:rPr>
        <w:t xml:space="preserve"> - přidat Třídicí pole 1 a 2 a na EAT001 nefunguje (na PRO je transakce funkční)</w:t>
      </w:r>
    </w:p>
    <w:p w:rsidR="00CC2A46" w:rsidRPr="00CC2A46" w:rsidRDefault="00CC2A46" w:rsidP="00CC2A46">
      <w:pPr>
        <w:numPr>
          <w:ilvl w:val="1"/>
          <w:numId w:val="5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  <w:b/>
        </w:rPr>
        <w:t>RESCGC Přehled nákladů aktuálního a předchozího období</w:t>
      </w:r>
      <w:r w:rsidRPr="00CC2A46">
        <w:rPr>
          <w:rFonts w:eastAsia="Calibri" w:cs="Times New Roman"/>
        </w:rPr>
        <w:t xml:space="preserve"> – přidat Třídicí pole 1 a 2</w:t>
      </w:r>
    </w:p>
    <w:p w:rsidR="00CC2A46" w:rsidRPr="00CC2A46" w:rsidRDefault="00CC2A46" w:rsidP="00CC2A46">
      <w:pPr>
        <w:numPr>
          <w:ilvl w:val="1"/>
          <w:numId w:val="5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  <w:b/>
        </w:rPr>
        <w:t xml:space="preserve">ZRE_ROCHJVYK - </w:t>
      </w:r>
      <w:r w:rsidRPr="00CC2A46">
        <w:rPr>
          <w:rFonts w:eastAsia="Calibri" w:cs="Times New Roman"/>
        </w:rPr>
        <w:t>přidat Třídicí pole 1 a 2</w:t>
      </w:r>
    </w:p>
    <w:p w:rsidR="00CC2A46" w:rsidRPr="00CC2A46" w:rsidRDefault="00CC2A46" w:rsidP="00CC2A46">
      <w:pPr>
        <w:numPr>
          <w:ilvl w:val="1"/>
          <w:numId w:val="5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  <w:b/>
        </w:rPr>
        <w:t xml:space="preserve">ZRE_SUCHVYK - </w:t>
      </w:r>
      <w:r w:rsidRPr="00CC2A46">
        <w:rPr>
          <w:rFonts w:eastAsia="Calibri" w:cs="Times New Roman"/>
        </w:rPr>
        <w:t>přidat Třídicí pole 1 a 2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lastRenderedPageBreak/>
        <w:t>Termín splnění T + 60 dní.</w:t>
      </w:r>
    </w:p>
    <w:p w:rsidR="00CC2A46" w:rsidRPr="00CC2A46" w:rsidRDefault="00CC2A46" w:rsidP="00CC2A46">
      <w:pPr>
        <w:ind w:left="144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>Nastavení účtování o rozdělení bylo nastaveno pro tyto druhy podmínek, prostřednictvím těchto druhů pohybu.</w:t>
      </w:r>
    </w:p>
    <w:p w:rsidR="00CC2A46" w:rsidRPr="00CC2A46" w:rsidRDefault="00CC2A46" w:rsidP="00CC2A46">
      <w:pPr>
        <w:ind w:firstLine="708"/>
        <w:rPr>
          <w:rFonts w:eastAsia="Calibri" w:cs="Times New Roman"/>
          <w:bCs/>
        </w:rPr>
      </w:pPr>
      <w:r w:rsidRPr="00CC2A46">
        <w:rPr>
          <w:rFonts w:eastAsia="Calibri" w:cs="Times New Roman"/>
          <w:bCs/>
        </w:rPr>
        <w:t>Termín splnění T + 45 dní.</w:t>
      </w:r>
    </w:p>
    <w:p w:rsidR="00CC2A46" w:rsidRPr="00CC2A46" w:rsidRDefault="00CC2A46" w:rsidP="00CC2A46">
      <w:pPr>
        <w:contextualSpacing/>
        <w:rPr>
          <w:rFonts w:eastAsia="Calibri" w:cs="Times New Roman"/>
        </w:rPr>
      </w:pPr>
    </w:p>
    <w:tbl>
      <w:tblPr>
        <w:tblpPr w:leftFromText="141" w:rightFromText="141" w:vertAnchor="text" w:horzAnchor="margin" w:tblpXSpec="center" w:tblpY="-40"/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2624"/>
        <w:gridCol w:w="763"/>
        <w:gridCol w:w="890"/>
        <w:gridCol w:w="859"/>
        <w:gridCol w:w="1049"/>
        <w:gridCol w:w="1033"/>
        <w:gridCol w:w="1065"/>
      </w:tblGrid>
      <w:tr w:rsidR="00CC2A46" w:rsidRPr="00CC2A46" w:rsidTr="00103BA4">
        <w:trPr>
          <w:trHeight w:val="26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Podm</w:t>
            </w:r>
            <w:proofErr w:type="spellEnd"/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Pohyb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Zvýšení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Snížení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Rozdělení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Zvýšení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Snížení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Základní nájemné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1840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Zákl. </w:t>
            </w:r>
            <w:proofErr w:type="gram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nájemné</w:t>
            </w:r>
            <w:proofErr w:type="gram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nebyt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1842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209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Zákl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nájemné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nebyt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zahr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 BP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1006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1804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1846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215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Zvýšení nájemného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jednor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6002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6042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216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Snížení nájemného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jednor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6106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6146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CC2A46" w:rsidRPr="00CC2A46" w:rsidTr="00103BA4">
        <w:trPr>
          <w:trHeight w:val="248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Zvýšení nájemného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zahr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 BP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1410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231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Snížení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náj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zahr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 BP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1048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232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Krátkodobý pronájem do 48h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1907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B047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1947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233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Krátk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pron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 do 48 h-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zahr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 BP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B005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1905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B045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B045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1945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265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Nájemné -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dod.uzavř.smlouvy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1415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  <w:tr w:rsidR="00CC2A46" w:rsidRPr="00CC2A46" w:rsidTr="00103BA4">
        <w:trPr>
          <w:trHeight w:val="261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266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Nájemné -</w:t>
            </w:r>
            <w:proofErr w:type="spellStart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dod.uzavř.sml.zahr</w:t>
            </w:r>
            <w:proofErr w:type="spellEnd"/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1016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1416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2A46" w:rsidRPr="00CC2A46" w:rsidRDefault="00CC2A46" w:rsidP="00CC2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A46">
              <w:rPr>
                <w:rFonts w:ascii="Calibri" w:eastAsia="Times New Roman" w:hAnsi="Calibri" w:cs="Calibri"/>
                <w:color w:val="000000"/>
                <w:lang w:eastAsia="cs-CZ"/>
              </w:rPr>
              <w:t>x</w:t>
            </w:r>
          </w:p>
        </w:tc>
      </w:tr>
    </w:tbl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 xml:space="preserve">Pro všechny podmínky, jak nyní používané, tak již dnes neaktuální, historicky vedené podmínky na nájemních smlouvách, které nemusí být ani na nájemní smlouvě zobrazeny. Musí dojít k editaci dat pro nastavení účtování o rozdělení tak, aby pro podmínky, kde rozdělení nemá být nastaveno, došlo k výmazu dat o rozdělení, a naopak kde rozdělení má být účtováno nastavit předpis rozdělení hromadně. Rozdělení bude nastaveno pouze pro nové podmínky, které budou založeny k datu zahájení účtování o rozdělení např. k 1. 1. 2023. V rámci poptávky požadujeme provedení analýzy, kterých podmínek se tyto úpravy budou týkat, a zároveň požadujeme hromadnou úpravu těchto podmínek. Pro tyto účely by měl vzniknout zákaznický program. </w:t>
      </w: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 xml:space="preserve">Nastavit účtování o rozdělení v případě podmínek záloh za služby (byty i </w:t>
      </w:r>
      <w:proofErr w:type="spellStart"/>
      <w:r w:rsidRPr="00CC2A46">
        <w:rPr>
          <w:rFonts w:eastAsia="Calibri" w:cs="Times New Roman"/>
          <w:b/>
          <w:bCs/>
        </w:rPr>
        <w:t>nebyty</w:t>
      </w:r>
      <w:proofErr w:type="spellEnd"/>
      <w:r w:rsidRPr="00CC2A46">
        <w:rPr>
          <w:rFonts w:eastAsia="Calibri" w:cs="Times New Roman"/>
          <w:b/>
          <w:bCs/>
        </w:rPr>
        <w:t>). Tyto podmínky musejí mít nastaven předpis pro rozdělení, protože se účastní procesu vyúčtování. V současnosti se o rozdělení u záloh za služby neúčtuje, tedy předpisy jsou vytvořeny, ale k účtování nedochází (jedná se o požadavky).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+ 45 dní.</w:t>
      </w:r>
    </w:p>
    <w:p w:rsidR="00CC2A46" w:rsidRPr="00CC2A46" w:rsidRDefault="00CC2A46" w:rsidP="00CC2A46">
      <w:pPr>
        <w:rPr>
          <w:rFonts w:eastAsia="Calibri" w:cs="Times New Roman"/>
          <w:b/>
          <w:bCs/>
        </w:rPr>
      </w:pP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 xml:space="preserve">Na základě doporučení je potřebné o rozdělení u podmínek pro zálohy za služby účtovat. Tedy nastavit přeúčtování záloh za služby z nájemní smlouvy na nájemní objekt. Následně na to nastavit i zúčtování vedlejších nákladů při rozdělení nákladů na nájemní objekt. Tedy na nájemní objekt budovy, kde budou vyčísleny jak náklady, tak zúčtované zálohy. </w:t>
      </w:r>
    </w:p>
    <w:p w:rsidR="00CC2A46" w:rsidRPr="00CC2A46" w:rsidRDefault="00CC2A46" w:rsidP="00CC2A46">
      <w:pPr>
        <w:contextualSpacing/>
        <w:rPr>
          <w:rFonts w:eastAsia="Calibri" w:cs="Times New Roman"/>
        </w:rPr>
      </w:pPr>
    </w:p>
    <w:p w:rsidR="00CC2A46" w:rsidRPr="00CC2A46" w:rsidRDefault="00CC2A46" w:rsidP="00CC2A46">
      <w:pPr>
        <w:contextualSpacing/>
        <w:rPr>
          <w:rFonts w:eastAsia="Calibri" w:cs="Times New Roman"/>
        </w:rPr>
      </w:pPr>
    </w:p>
    <w:p w:rsidR="00CC2A46" w:rsidRPr="00CC2A46" w:rsidRDefault="00CC2A46" w:rsidP="00CC2A46">
      <w:pPr>
        <w:contextualSpacing/>
        <w:rPr>
          <w:rFonts w:eastAsia="Calibri" w:cs="Times New Roman"/>
        </w:rPr>
      </w:pP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lastRenderedPageBreak/>
        <w:t>Dopracovat kontrolní výkazy ZZRE_ROCHVYK a ZRE_SUCHVYK. Jednotlivé nedostatky výkazů kromě „Třídicí pole 1 a 2“ jsou popsány v souborech: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+ 75 dní.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  <w:b/>
          <w:bCs/>
        </w:rPr>
      </w:pPr>
    </w:p>
    <w:p w:rsidR="00CC2A46" w:rsidRPr="00CC2A46" w:rsidRDefault="00CC2A46" w:rsidP="00CC2A46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Vykaz_ZRE_ROCHVYK_2022_04.xlsx</w:t>
      </w:r>
    </w:p>
    <w:p w:rsidR="00CC2A46" w:rsidRPr="00CC2A46" w:rsidRDefault="00CC2A46" w:rsidP="00CC2A46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Vykaz_ZRE_SUCHVYK_2022_04.xlsx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>Podpora testování, možnost dopracovávání a opravování zjištěných chyb vyplývajících z procesního nasazení a zajištění případných hromadných změn kmenových dat.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+ 150 dní.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  <w:b/>
          <w:bCs/>
        </w:rPr>
      </w:pP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Dodávka konzultantských a programátorských prací v rámci podpory testování, opravování zjištěných chyb, zajištění případných hromadných změn kmenových dat a dalších prací spojených se zajištěním účtování na objekty REM v maximálním objemu 20 MD (MD – člověkoden). Čerpání bude prostřednictvím vystavených objednávek.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Dodavatel nabídne cenu za MD při možnosti fakturace v hodinách. Zadavatel požaduje, aby účastník uvedl cenu za 1 MD (=8 hodin práce konzultanta a obsahuje veškeré náklady spojené s plněním dílčí objednávky) plnění předmětu této veřejné zakázky, v české měně (Koruna česká), v členění bez daně z přidané hodnoty (DPH), samostatně příslušná výše DPH a včetně DPH.</w:t>
      </w:r>
    </w:p>
    <w:p w:rsidR="00CC2A46" w:rsidRPr="00CC2A46" w:rsidRDefault="00CC2A46" w:rsidP="00CC2A46">
      <w:pPr>
        <w:ind w:firstLine="708"/>
        <w:rPr>
          <w:rFonts w:eastAsia="Calibri" w:cs="Times New Roman"/>
        </w:rPr>
      </w:pPr>
      <w:r w:rsidRPr="00CC2A46">
        <w:rPr>
          <w:rFonts w:eastAsia="Calibri" w:cs="Times New Roman"/>
        </w:rPr>
        <w:t>Nabídková cena účastníka za 1 MD plnění předmětu této veřejné zakázky musí být v nabídce účastníkem garantována jako cena maximální a nepřekročitelná, konečná, zahrnující veškeré náklady účastníka spojené s plněním předmětu této veřejné zakázky.</w:t>
      </w: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  <w:b/>
          <w:bCs/>
        </w:rPr>
      </w:pPr>
      <w:bookmarkStart w:id="41" w:name="_GoBack"/>
      <w:r w:rsidRPr="00CC2A46">
        <w:rPr>
          <w:rFonts w:eastAsia="Calibri" w:cs="Times New Roman"/>
          <w:b/>
          <w:bCs/>
        </w:rPr>
        <w:br w:type="page"/>
      </w:r>
    </w:p>
    <w:bookmarkEnd w:id="41"/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t>Úprava reportu pro tisk splátkového kalendáře (RE_PAY_TIMETAB_FORMFX_STD). Výběr nyní nezohledňuje rozhodný den vůči platnosti NS. Tisk se používá u platných nájemních smluv k rozhodnému dni, a tak je zapotřebí, aby se neplatné NS netiskly. SM 6001892.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+ 60 dní.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  <w:b/>
          <w:bCs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  <w:noProof/>
          <w:lang w:eastAsia="cs-CZ"/>
        </w:rPr>
        <w:drawing>
          <wp:inline distT="0" distB="0" distL="0" distR="0" wp14:anchorId="1FAB4B6D" wp14:editId="09795736">
            <wp:extent cx="5648325" cy="400050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br w:type="page"/>
      </w:r>
    </w:p>
    <w:p w:rsidR="00CC2A46" w:rsidRPr="00CC2A46" w:rsidRDefault="00CC2A46" w:rsidP="00CC2A46">
      <w:pPr>
        <w:numPr>
          <w:ilvl w:val="0"/>
          <w:numId w:val="5"/>
        </w:numPr>
        <w:contextualSpacing/>
        <w:rPr>
          <w:rFonts w:eastAsia="Calibri" w:cs="Times New Roman"/>
          <w:b/>
          <w:bCs/>
        </w:rPr>
      </w:pPr>
      <w:r w:rsidRPr="00CC2A46">
        <w:rPr>
          <w:rFonts w:eastAsia="Calibri" w:cs="Times New Roman"/>
          <w:b/>
          <w:bCs/>
        </w:rPr>
        <w:lastRenderedPageBreak/>
        <w:t xml:space="preserve">Rozšíření reportu </w:t>
      </w:r>
      <w:r w:rsidRPr="00CC2A46">
        <w:rPr>
          <w:rFonts w:eastAsia="Calibri" w:cs="Times New Roman"/>
          <w:b/>
          <w:bCs/>
          <w:i/>
          <w:iCs/>
        </w:rPr>
        <w:t>ZRE_RECN</w:t>
      </w:r>
      <w:r w:rsidRPr="00CC2A46">
        <w:rPr>
          <w:rFonts w:eastAsia="Calibri" w:cs="Times New Roman"/>
          <w:b/>
          <w:bCs/>
        </w:rPr>
        <w:t xml:space="preserve"> o nová pole související s používáním obratového nájemného.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Termín splnění T + 90 dní.</w:t>
      </w:r>
    </w:p>
    <w:p w:rsidR="00CC2A46" w:rsidRPr="00CC2A46" w:rsidRDefault="00CC2A46" w:rsidP="00CC2A46">
      <w:pPr>
        <w:ind w:left="720"/>
        <w:contextualSpacing/>
        <w:rPr>
          <w:rFonts w:eastAsia="Calibri" w:cs="Times New Roman"/>
          <w:b/>
          <w:bCs/>
        </w:rPr>
      </w:pPr>
    </w:p>
    <w:p w:rsidR="00CC2A46" w:rsidRPr="00CC2A46" w:rsidRDefault="00CC2A46" w:rsidP="00CC2A46">
      <w:pPr>
        <w:rPr>
          <w:rFonts w:eastAsia="Calibri" w:cs="Times New Roman"/>
        </w:rPr>
      </w:pPr>
      <w:r w:rsidRPr="00CC2A46">
        <w:rPr>
          <w:rFonts w:eastAsia="Calibri" w:cs="Times New Roman"/>
        </w:rPr>
        <w:t>Požadavek na rozšíření vstupní obrazovky o nové výběrové parametry pro selekci smluv s obratovým nájemným.</w:t>
      </w:r>
    </w:p>
    <w:p w:rsidR="00CC2A46" w:rsidRPr="00CC2A46" w:rsidRDefault="00CC2A46" w:rsidP="00CC2A46">
      <w:pPr>
        <w:rPr>
          <w:rFonts w:eastAsia="Calibri" w:cs="Times New Roman"/>
          <w:b/>
        </w:rPr>
      </w:pPr>
      <w:r w:rsidRPr="00CC2A46">
        <w:rPr>
          <w:rFonts w:eastAsia="Calibri" w:cs="Times New Roman"/>
          <w:b/>
        </w:rPr>
        <w:t>Výběrová kritéria:</w:t>
      </w:r>
    </w:p>
    <w:p w:rsidR="00CC2A46" w:rsidRPr="00CC2A46" w:rsidRDefault="00CC2A46" w:rsidP="00CC2A46">
      <w:pPr>
        <w:rPr>
          <w:rFonts w:eastAsia="Calibri" w:cs="Times New Roman"/>
        </w:rPr>
      </w:pPr>
      <w:r w:rsidRPr="00CC2A46">
        <w:rPr>
          <w:rFonts w:eastAsia="Calibri" w:cs="Times New Roman"/>
        </w:rPr>
        <w:t>Sekce pro výběrová kritéria „Obratové nájemné“.</w:t>
      </w:r>
      <w:r w:rsidRPr="00CC2A46">
        <w:rPr>
          <w:rFonts w:eastAsia="Calibri" w:cs="Times New Roman"/>
          <w:noProof/>
          <w:lang w:eastAsia="cs-CZ"/>
        </w:rPr>
        <w:drawing>
          <wp:inline distT="0" distB="0" distL="0" distR="0" wp14:anchorId="0F137874" wp14:editId="7900B8B4">
            <wp:extent cx="3686175" cy="24288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A46" w:rsidRPr="00CC2A46" w:rsidRDefault="00CC2A46" w:rsidP="00CC2A46">
      <w:pPr>
        <w:rPr>
          <w:rFonts w:eastAsia="Calibri" w:cs="Times New Roman"/>
          <w:b/>
        </w:rPr>
      </w:pPr>
      <w:r w:rsidRPr="00CC2A46">
        <w:rPr>
          <w:rFonts w:eastAsia="Calibri" w:cs="Times New Roman"/>
          <w:b/>
        </w:rPr>
        <w:t>Výběrová kritéria pod sekcí „Obratové nájemné“:</w:t>
      </w:r>
    </w:p>
    <w:p w:rsidR="00CC2A46" w:rsidRPr="00CC2A46" w:rsidRDefault="00CC2A46" w:rsidP="00CC2A46">
      <w:pPr>
        <w:numPr>
          <w:ilvl w:val="0"/>
          <w:numId w:val="7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relevantní pro obrat ano/ne</w:t>
      </w:r>
    </w:p>
    <w:p w:rsidR="00CC2A46" w:rsidRPr="00CC2A46" w:rsidRDefault="00CC2A46" w:rsidP="00CC2A46">
      <w:pPr>
        <w:numPr>
          <w:ilvl w:val="0"/>
          <w:numId w:val="7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výběr zúčtovacích dat obratového nájemného dle období hlášení obratu.</w:t>
      </w:r>
    </w:p>
    <w:p w:rsidR="00CC2A46" w:rsidRPr="00CC2A46" w:rsidRDefault="00CC2A46" w:rsidP="00CC2A46">
      <w:pPr>
        <w:ind w:left="360"/>
        <w:rPr>
          <w:rFonts w:eastAsia="Calibri" w:cs="Times New Roman"/>
        </w:rPr>
      </w:pPr>
      <w:r w:rsidRPr="00CC2A46">
        <w:rPr>
          <w:rFonts w:eastAsia="Calibri" w:cs="Times New Roman"/>
          <w:noProof/>
          <w:lang w:eastAsia="cs-CZ"/>
        </w:rPr>
        <w:drawing>
          <wp:inline distT="0" distB="0" distL="0" distR="0" wp14:anchorId="2BBAC4EE" wp14:editId="3721BBE6">
            <wp:extent cx="5760720" cy="2404772"/>
            <wp:effectExtent l="0" t="0" r="0" b="0"/>
            <wp:docPr id="9" name="Obrázek 9" descr="cid:image002.jpg@01D89D05.FD5BA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2.jpg@01D89D05.FD5BAA7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0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rPr>
          <w:rFonts w:eastAsia="Calibri" w:cs="Times New Roman"/>
          <w:b/>
        </w:rPr>
      </w:pPr>
      <w:r w:rsidRPr="00CC2A46">
        <w:rPr>
          <w:rFonts w:eastAsia="Calibri" w:cs="Times New Roman"/>
          <w:b/>
        </w:rPr>
        <w:t>Výstup reportu by měl nově obsahovat pole: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relevantní pro obrat ano/ne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číslo podmínky (určené pro obratové nájemné, v této chvíli je využívána jen podmínka 299)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název podmínky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lastRenderedPageBreak/>
        <w:t xml:space="preserve">sazba v </w:t>
      </w:r>
      <w:r w:rsidRPr="00CC2A46">
        <w:rPr>
          <w:rFonts w:eastAsia="Calibri" w:cs="Times New Roman"/>
          <w:lang w:val="en-US"/>
        </w:rPr>
        <w:t>%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vypočtená částka obratového nájemného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částka hlášeného obratu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období od/do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druh sortimentu</w:t>
      </w:r>
    </w:p>
    <w:p w:rsidR="00CC2A46" w:rsidRPr="00CC2A46" w:rsidRDefault="00CC2A46" w:rsidP="00CC2A46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CC2A46">
        <w:rPr>
          <w:rFonts w:eastAsia="Calibri" w:cs="Times New Roman"/>
        </w:rPr>
        <w:t>datum hlášení obratu</w:t>
      </w:r>
    </w:p>
    <w:p w:rsidR="00CC2A46" w:rsidRPr="00CC2A46" w:rsidRDefault="00CC2A46" w:rsidP="00CC2A46">
      <w:pPr>
        <w:rPr>
          <w:rFonts w:eastAsia="Calibri" w:cs="Times New Roman"/>
        </w:rPr>
      </w:pPr>
      <w:r w:rsidRPr="00CC2A46">
        <w:rPr>
          <w:rFonts w:eastAsia="Calibri" w:cs="Times New Roman"/>
        </w:rPr>
        <w:t>Výše zmíněná data je možné zobrazit jen v případě, že je u smlouvy provedeno zúčtování nájemného z obratu transakcí RESRSE.</w:t>
      </w:r>
    </w:p>
    <w:p w:rsidR="00CC2A46" w:rsidRPr="00CC2A46" w:rsidRDefault="00CC2A46" w:rsidP="00CC2A46">
      <w:pPr>
        <w:rPr>
          <w:rFonts w:eastAsia="Calibri" w:cs="Times New Roman"/>
        </w:rPr>
      </w:pPr>
    </w:p>
    <w:p w:rsidR="00CC2A46" w:rsidRPr="00CC2A46" w:rsidRDefault="00CC2A46" w:rsidP="00CC2A46">
      <w:pPr>
        <w:ind w:left="720"/>
        <w:contextualSpacing/>
        <w:rPr>
          <w:rFonts w:eastAsia="Calibri" w:cs="Times New Roman"/>
        </w:rPr>
      </w:pPr>
    </w:p>
    <w:p w:rsidR="009F392E" w:rsidRPr="007139D4" w:rsidRDefault="009F392E" w:rsidP="00CC2A46">
      <w:pPr>
        <w:pStyle w:val="Odstavecseseznamem"/>
        <w:ind w:left="-426"/>
        <w:rPr>
          <w:sz w:val="18"/>
          <w:szCs w:val="18"/>
        </w:rPr>
      </w:pPr>
    </w:p>
    <w:sectPr w:rsidR="009F392E" w:rsidRPr="007139D4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A4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A4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A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A4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EC08DC"/>
    <w:multiLevelType w:val="hybridMultilevel"/>
    <w:tmpl w:val="FDFE83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6381"/>
    <w:multiLevelType w:val="hybridMultilevel"/>
    <w:tmpl w:val="45821FC0"/>
    <w:lvl w:ilvl="0" w:tplc="DCAC5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AC319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FD27155"/>
    <w:multiLevelType w:val="hybridMultilevel"/>
    <w:tmpl w:val="277063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EEB5AED"/>
    <w:multiLevelType w:val="hybridMultilevel"/>
    <w:tmpl w:val="E18EA4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C2A46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gif"/><Relationship Id="rId18" Type="http://schemas.openxmlformats.org/officeDocument/2006/relationships/image" Target="cid:image002.jpg@01D89D05.FD5BAA7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cid:image001.png@01D85E22.6A7E9810" TargetMode="Externa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_1_1580714815806DB8003C2A20C1258836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4F71AB-C085-472A-B841-F1AF5FB2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7</Pages>
  <Words>934</Words>
  <Characters>5515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2021-09-29T08:21:00Z</dcterms:created>
  <dcterms:modified xsi:type="dcterms:W3CDTF">2022-09-26T12:54:00Z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